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9"/>
        <w:tblW w:w="10998" w:type="dxa"/>
        <w:jc w:val="center"/>
        <w:tblInd w:w="0" w:type="dxa"/>
        <w:tblBorders>
          <w:top w:val="thinThickSmallGap" w:color="92D050" w:sz="12" w:space="0"/>
          <w:left w:val="thinThickSmallGap" w:color="92D050" w:sz="12" w:space="0"/>
          <w:bottom w:val="thinThickSmallGap" w:color="92D050" w:sz="12" w:space="0"/>
          <w:right w:val="thinThickSmallGap" w:color="92D050" w:sz="12" w:space="0"/>
          <w:insideH w:val="thinThickSmallGap" w:color="92D050" w:sz="12" w:space="0"/>
          <w:insideV w:val="thinThickSmallGap" w:color="92D050" w:sz="12" w:space="0"/>
        </w:tblBorders>
        <w:tblLayout w:type="fixed"/>
        <w:tblCellMar>
          <w:top w:w="0" w:type="dxa"/>
          <w:left w:w="108" w:type="dxa"/>
          <w:bottom w:w="0" w:type="dxa"/>
          <w:right w:w="108" w:type="dxa"/>
        </w:tblCellMar>
      </w:tblPr>
      <w:tblGrid>
        <w:gridCol w:w="10998"/>
      </w:tblGrid>
      <w:tr>
        <w:tblPrEx>
          <w:tblBorders>
            <w:top w:val="thinThickSmallGap" w:color="92D050" w:sz="12" w:space="0"/>
            <w:left w:val="thinThickSmallGap" w:color="92D050" w:sz="12" w:space="0"/>
            <w:bottom w:val="thinThickSmallGap" w:color="92D050" w:sz="12" w:space="0"/>
            <w:right w:val="thinThickSmallGap" w:color="92D050" w:sz="12" w:space="0"/>
            <w:insideH w:val="thinThickSmallGap" w:color="92D050" w:sz="12" w:space="0"/>
            <w:insideV w:val="thinThickSmallGap" w:color="92D050" w:sz="12" w:space="0"/>
          </w:tblBorders>
          <w:tblLayout w:type="fixed"/>
          <w:tblCellMar>
            <w:top w:w="0" w:type="dxa"/>
            <w:left w:w="108" w:type="dxa"/>
            <w:bottom w:w="0" w:type="dxa"/>
            <w:right w:w="108" w:type="dxa"/>
          </w:tblCellMar>
        </w:tblPrEx>
        <w:trPr>
          <w:trHeight w:val="863" w:hRule="atLeast"/>
          <w:jc w:val="center"/>
        </w:trPr>
        <w:tc>
          <w:tcPr>
            <w:tcW w:w="10998" w:type="dxa"/>
            <w:shd w:val="clear" w:color="auto" w:fill="auto"/>
            <w:vAlign w:val="center"/>
          </w:tcPr>
          <w:p>
            <w:pPr>
              <w:jc w:val="center"/>
              <w:rPr>
                <w:rFonts w:ascii="微软雅黑" w:hAnsi="微软雅黑" w:eastAsia="微软雅黑"/>
                <w:b/>
                <w:sz w:val="18"/>
                <w:szCs w:val="18"/>
              </w:rPr>
            </w:pPr>
            <w:r>
              <w:rPr>
                <w:rFonts w:hint="eastAsia" w:ascii="微软雅黑" w:hAnsi="微软雅黑" w:eastAsia="微软雅黑"/>
                <w:b/>
                <w:color w:val="92D050"/>
                <w:sz w:val="28"/>
                <w:szCs w:val="18"/>
              </w:rPr>
              <w:t>万科物业2018万物星招聘简章</w:t>
            </w:r>
          </w:p>
        </w:tc>
      </w:tr>
      <w:tr>
        <w:tblPrEx>
          <w:tblBorders>
            <w:top w:val="thinThickSmallGap" w:color="92D050" w:sz="12" w:space="0"/>
            <w:left w:val="thinThickSmallGap" w:color="92D050" w:sz="12" w:space="0"/>
            <w:bottom w:val="thinThickSmallGap" w:color="92D050" w:sz="12" w:space="0"/>
            <w:right w:val="thinThickSmallGap" w:color="92D050" w:sz="12" w:space="0"/>
            <w:insideH w:val="thinThickSmallGap" w:color="92D050" w:sz="12" w:space="0"/>
            <w:insideV w:val="thinThickSmallGap" w:color="92D050" w:sz="12" w:space="0"/>
          </w:tblBorders>
          <w:tblLayout w:type="fixed"/>
          <w:tblCellMar>
            <w:top w:w="0" w:type="dxa"/>
            <w:left w:w="108" w:type="dxa"/>
            <w:bottom w:w="0" w:type="dxa"/>
            <w:right w:w="108" w:type="dxa"/>
          </w:tblCellMar>
        </w:tblPrEx>
        <w:trPr>
          <w:trHeight w:val="3029" w:hRule="atLeast"/>
          <w:jc w:val="center"/>
        </w:trPr>
        <w:tc>
          <w:tcPr>
            <w:tcW w:w="10998" w:type="dxa"/>
            <w:shd w:val="clear" w:color="auto" w:fill="auto"/>
          </w:tcPr>
          <w:p>
            <w:pPr>
              <w:pStyle w:val="18"/>
              <w:numPr>
                <w:numId w:val="0"/>
              </w:numPr>
              <w:adjustRightInd w:val="0"/>
              <w:snapToGrid w:val="0"/>
              <w:spacing w:line="360" w:lineRule="auto"/>
              <w:ind w:leftChars="0"/>
              <w:rPr>
                <w:rFonts w:ascii="微软雅黑" w:hAnsi="微软雅黑" w:eastAsia="微软雅黑"/>
                <w:b/>
                <w:color w:val="92D050"/>
                <w:sz w:val="18"/>
                <w:szCs w:val="18"/>
              </w:rPr>
            </w:pPr>
          </w:p>
          <w:p>
            <w:pPr>
              <w:pStyle w:val="18"/>
              <w:numPr>
                <w:ilvl w:val="0"/>
                <w:numId w:val="1"/>
              </w:numPr>
              <w:adjustRightInd w:val="0"/>
              <w:snapToGrid w:val="0"/>
              <w:spacing w:line="360" w:lineRule="auto"/>
              <w:ind w:firstLineChars="0"/>
              <w:rPr>
                <w:rFonts w:ascii="微软雅黑" w:hAnsi="微软雅黑" w:eastAsia="微软雅黑"/>
                <w:b/>
                <w:color w:val="92D050"/>
                <w:sz w:val="18"/>
                <w:szCs w:val="18"/>
              </w:rPr>
            </w:pPr>
            <w:bookmarkStart w:id="0" w:name="_GoBack"/>
            <w:bookmarkEnd w:id="0"/>
            <w:r>
              <w:rPr>
                <w:rFonts w:hint="eastAsia" w:ascii="微软雅黑" w:hAnsi="微软雅黑" w:eastAsia="微软雅黑"/>
                <w:b/>
                <w:color w:val="92D050"/>
                <w:sz w:val="18"/>
                <w:szCs w:val="18"/>
              </w:rPr>
              <w:t>万科物业简介</w:t>
            </w:r>
          </w:p>
          <w:p>
            <w:pPr>
              <w:adjustRightInd w:val="0"/>
              <w:snapToGrid w:val="0"/>
              <w:spacing w:line="360" w:lineRule="auto"/>
              <w:ind w:left="420" w:leftChars="200"/>
              <w:jc w:val="left"/>
              <w:rPr>
                <w:rFonts w:ascii="微软雅黑" w:hAnsi="微软雅黑" w:eastAsia="微软雅黑"/>
                <w:sz w:val="18"/>
                <w:szCs w:val="18"/>
              </w:rPr>
            </w:pPr>
            <w:r>
              <w:rPr>
                <w:rFonts w:hint="eastAsia" w:ascii="微软雅黑" w:hAnsi="微软雅黑" w:eastAsia="微软雅黑"/>
                <w:sz w:val="18"/>
                <w:szCs w:val="18"/>
              </w:rPr>
              <w:t>我们  是“全球最大的住宅开发商”万科企业股份有限公司的重要组成部分</w:t>
            </w:r>
          </w:p>
          <w:p>
            <w:pPr>
              <w:adjustRightInd w:val="0"/>
              <w:snapToGrid w:val="0"/>
              <w:spacing w:line="360" w:lineRule="auto"/>
              <w:ind w:left="420" w:leftChars="200"/>
              <w:jc w:val="left"/>
              <w:rPr>
                <w:rFonts w:ascii="微软雅黑" w:hAnsi="微软雅黑" w:eastAsia="微软雅黑"/>
                <w:sz w:val="18"/>
                <w:szCs w:val="18"/>
              </w:rPr>
            </w:pPr>
            <w:r>
              <w:rPr>
                <w:rFonts w:hint="eastAsia" w:ascii="微软雅黑" w:hAnsi="微软雅黑" w:eastAsia="微软雅黑"/>
                <w:sz w:val="18"/>
                <w:szCs w:val="18"/>
              </w:rPr>
              <w:t>我们  是国内规模领先、兼具最佳服务品质及客户口碑的物业服务领航企业</w:t>
            </w:r>
          </w:p>
          <w:p>
            <w:pPr>
              <w:adjustRightInd w:val="0"/>
              <w:snapToGrid w:val="0"/>
              <w:spacing w:line="360" w:lineRule="auto"/>
              <w:ind w:left="420" w:leftChars="200"/>
              <w:jc w:val="left"/>
              <w:rPr>
                <w:rFonts w:ascii="微软雅黑" w:hAnsi="微软雅黑" w:eastAsia="微软雅黑"/>
                <w:sz w:val="18"/>
                <w:szCs w:val="18"/>
              </w:rPr>
            </w:pPr>
            <w:r>
              <w:rPr>
                <w:rFonts w:hint="eastAsia" w:ascii="微软雅黑" w:hAnsi="微软雅黑" w:eastAsia="微软雅黑"/>
                <w:sz w:val="18"/>
                <w:szCs w:val="18"/>
              </w:rPr>
              <w:t>我们  连续被评为“中国物业管理综合实力TOP200企业”榜首</w:t>
            </w:r>
          </w:p>
          <w:p>
            <w:pPr>
              <w:adjustRightInd w:val="0"/>
              <w:snapToGrid w:val="0"/>
              <w:spacing w:line="360" w:lineRule="auto"/>
              <w:ind w:left="420" w:leftChars="200"/>
              <w:jc w:val="left"/>
              <w:rPr>
                <w:rFonts w:ascii="微软雅黑" w:hAnsi="微软雅黑" w:eastAsia="微软雅黑"/>
                <w:sz w:val="18"/>
                <w:szCs w:val="18"/>
              </w:rPr>
            </w:pPr>
            <w:r>
              <w:rPr>
                <w:rFonts w:hint="eastAsia" w:ascii="微软雅黑" w:hAnsi="微软雅黑" w:eastAsia="微软雅黑"/>
                <w:sz w:val="18"/>
                <w:szCs w:val="18"/>
              </w:rPr>
              <w:t>我们 </w:t>
            </w:r>
            <w:r>
              <w:rPr>
                <w:rFonts w:ascii="微软雅黑" w:hAnsi="微软雅黑" w:eastAsia="微软雅黑"/>
                <w:sz w:val="18"/>
                <w:szCs w:val="18"/>
              </w:rPr>
              <w:t xml:space="preserve"> </w:t>
            </w:r>
            <w:r>
              <w:rPr>
                <w:rFonts w:hint="eastAsia" w:ascii="微软雅黑" w:hAnsi="微软雅黑" w:eastAsia="微软雅黑"/>
                <w:sz w:val="18"/>
                <w:szCs w:val="18"/>
              </w:rPr>
              <w:t>布局全国69个最具发展潜力的大中城市，服务项目共计超过1800个</w:t>
            </w:r>
          </w:p>
          <w:p>
            <w:pPr>
              <w:adjustRightInd w:val="0"/>
              <w:snapToGrid w:val="0"/>
              <w:spacing w:line="360" w:lineRule="auto"/>
              <w:ind w:left="420" w:leftChars="200"/>
              <w:jc w:val="left"/>
              <w:rPr>
                <w:rFonts w:ascii="微软雅黑" w:hAnsi="微软雅黑" w:eastAsia="微软雅黑"/>
                <w:sz w:val="18"/>
                <w:szCs w:val="18"/>
              </w:rPr>
            </w:pPr>
            <w:r>
              <w:rPr>
                <w:rFonts w:hint="eastAsia" w:ascii="微软雅黑" w:hAnsi="微软雅黑" w:eastAsia="微软雅黑"/>
                <w:sz w:val="18"/>
                <w:szCs w:val="18"/>
              </w:rPr>
              <w:t>我们  管理客户资产6.4万亿元，服务客户人口数超过1174万人口，致力于客户资产的保值增值</w:t>
            </w:r>
          </w:p>
          <w:p>
            <w:pPr>
              <w:adjustRightInd w:val="0"/>
              <w:snapToGrid w:val="0"/>
              <w:spacing w:line="360" w:lineRule="auto"/>
              <w:ind w:left="420" w:leftChars="200"/>
              <w:jc w:val="left"/>
              <w:rPr>
                <w:rFonts w:ascii="微软雅黑" w:hAnsi="微软雅黑" w:eastAsia="微软雅黑"/>
                <w:sz w:val="18"/>
                <w:szCs w:val="18"/>
              </w:rPr>
            </w:pPr>
            <w:r>
              <w:rPr>
                <w:rFonts w:hint="eastAsia" w:ascii="微软雅黑" w:hAnsi="微软雅黑" w:eastAsia="微软雅黑"/>
                <w:sz w:val="18"/>
                <w:szCs w:val="18"/>
              </w:rPr>
              <w:t>我们</w:t>
            </w:r>
            <w:r>
              <w:rPr>
                <w:rFonts w:ascii="微软雅黑" w:hAnsi="微软雅黑" w:eastAsia="微软雅黑"/>
                <w:sz w:val="18"/>
                <w:szCs w:val="18"/>
              </w:rPr>
              <w:t xml:space="preserve">  </w:t>
            </w:r>
            <w:r>
              <w:rPr>
                <w:rFonts w:hint="eastAsia" w:ascii="微软雅黑" w:hAnsi="微软雅黑" w:eastAsia="微软雅黑"/>
                <w:sz w:val="18"/>
                <w:szCs w:val="18"/>
              </w:rPr>
              <w:t>推出万物成长业务，围绕智慧社区、餐饮、养老、家装、仓储等为用户创造便捷、时尚的生活体验</w:t>
            </w:r>
          </w:p>
          <w:p>
            <w:pPr>
              <w:adjustRightInd w:val="0"/>
              <w:snapToGrid w:val="0"/>
              <w:spacing w:line="360" w:lineRule="auto"/>
              <w:ind w:left="420" w:leftChars="200"/>
              <w:jc w:val="left"/>
              <w:rPr>
                <w:rFonts w:ascii="微软雅黑" w:hAnsi="微软雅黑" w:eastAsia="微软雅黑"/>
                <w:sz w:val="18"/>
                <w:szCs w:val="18"/>
              </w:rPr>
            </w:pPr>
            <w:r>
              <w:rPr>
                <w:rFonts w:hint="eastAsia" w:ascii="微软雅黑" w:hAnsi="微软雅黑" w:eastAsia="微软雅黑"/>
                <w:sz w:val="18"/>
                <w:szCs w:val="18"/>
              </w:rPr>
              <w:t>我们  将新兴技术研发应用到物业管理中，使“所有项目都有经纬度，所有设备都有身份证”</w:t>
            </w:r>
          </w:p>
          <w:p>
            <w:pPr>
              <w:adjustRightInd w:val="0"/>
              <w:snapToGrid w:val="0"/>
              <w:spacing w:line="360" w:lineRule="auto"/>
              <w:ind w:left="420" w:leftChars="200"/>
              <w:jc w:val="left"/>
              <w:rPr>
                <w:rFonts w:ascii="微软雅黑" w:hAnsi="微软雅黑" w:eastAsia="微软雅黑"/>
                <w:sz w:val="18"/>
                <w:szCs w:val="18"/>
              </w:rPr>
            </w:pPr>
            <w:r>
              <w:rPr>
                <w:rFonts w:hint="eastAsia" w:ascii="微软雅黑" w:hAnsi="微软雅黑" w:eastAsia="微软雅黑"/>
                <w:sz w:val="18"/>
                <w:szCs w:val="18"/>
              </w:rPr>
              <w:t>我们  依托移动互联网对6.2万余名员工进行管理，使“每个员工都有二维码，每个岗位都有经验值”</w:t>
            </w:r>
            <w:r>
              <w:rPr>
                <w:rFonts w:ascii="微软雅黑" w:hAnsi="微软雅黑" w:eastAsia="微软雅黑"/>
                <w:sz w:val="18"/>
                <w:szCs w:val="18"/>
              </w:rPr>
              <w:t xml:space="preserve"> </w:t>
            </w:r>
          </w:p>
          <w:p>
            <w:pPr>
              <w:adjustRightInd w:val="0"/>
              <w:snapToGrid w:val="0"/>
              <w:spacing w:line="360" w:lineRule="auto"/>
              <w:ind w:left="420" w:leftChars="200"/>
              <w:jc w:val="left"/>
              <w:rPr>
                <w:rFonts w:ascii="微软雅黑" w:hAnsi="微软雅黑" w:eastAsia="微软雅黑"/>
                <w:sz w:val="18"/>
                <w:szCs w:val="18"/>
              </w:rPr>
            </w:pPr>
            <w:r>
              <w:rPr>
                <w:rFonts w:hint="eastAsia" w:ascii="微软雅黑" w:hAnsi="微软雅黑" w:eastAsia="微软雅黑"/>
                <w:sz w:val="18"/>
                <w:szCs w:val="18"/>
              </w:rPr>
              <w:t>我们  整合并分享自身优势，依托合伙人机制、推出“睿服务”体系，让物业服务</w:t>
            </w:r>
            <w:r>
              <w:rPr>
                <w:rFonts w:hint="eastAsia" w:ascii="微软雅黑" w:hAnsi="微软雅黑" w:eastAsia="微软雅黑"/>
                <w:sz w:val="18"/>
                <w:szCs w:val="18"/>
                <w:vertAlign w:val="superscript"/>
              </w:rPr>
              <w:t>2</w:t>
            </w:r>
            <w:r>
              <w:rPr>
                <w:rFonts w:hint="eastAsia" w:ascii="微软雅黑" w:hAnsi="微软雅黑" w:eastAsia="微软雅黑"/>
                <w:sz w:val="18"/>
                <w:szCs w:val="18"/>
              </w:rPr>
              <w:t>更简单</w:t>
            </w:r>
          </w:p>
          <w:p>
            <w:pPr>
              <w:adjustRightInd w:val="0"/>
              <w:snapToGrid w:val="0"/>
              <w:spacing w:line="360" w:lineRule="auto"/>
              <w:ind w:left="420" w:leftChars="200"/>
              <w:jc w:val="left"/>
              <w:rPr>
                <w:rFonts w:ascii="微软雅黑" w:hAnsi="微软雅黑" w:eastAsia="微软雅黑"/>
                <w:sz w:val="18"/>
                <w:szCs w:val="18"/>
              </w:rPr>
            </w:pPr>
            <w:r>
              <w:rPr>
                <w:rFonts w:hint="eastAsia" w:ascii="微软雅黑" w:hAnsi="微软雅黑" w:eastAsia="微软雅黑"/>
                <w:sz w:val="18"/>
                <w:szCs w:val="18"/>
              </w:rPr>
              <w:t>我们  是“万科物业”</w:t>
            </w:r>
          </w:p>
          <w:p>
            <w:pPr>
              <w:pStyle w:val="18"/>
              <w:numPr>
                <w:ilvl w:val="0"/>
                <w:numId w:val="1"/>
              </w:numPr>
              <w:adjustRightInd w:val="0"/>
              <w:snapToGrid w:val="0"/>
              <w:spacing w:line="360" w:lineRule="auto"/>
              <w:ind w:firstLineChars="0"/>
              <w:rPr>
                <w:rFonts w:ascii="微软雅黑" w:hAnsi="微软雅黑" w:eastAsia="微软雅黑"/>
                <w:b/>
                <w:color w:val="92D050"/>
                <w:sz w:val="18"/>
                <w:szCs w:val="18"/>
              </w:rPr>
            </w:pPr>
            <w:r>
              <w:rPr>
                <w:rFonts w:hint="eastAsia" w:ascii="微软雅黑" w:hAnsi="微软雅黑" w:eastAsia="微软雅黑"/>
                <w:b/>
                <w:color w:val="92D050"/>
                <w:sz w:val="18"/>
                <w:szCs w:val="18"/>
              </w:rPr>
              <w:t>了解万物星</w:t>
            </w:r>
          </w:p>
          <w:p>
            <w:pPr>
              <w:spacing w:line="360" w:lineRule="auto"/>
              <w:ind w:firstLine="360" w:firstLineChars="200"/>
              <w:rPr>
                <w:rFonts w:ascii="微软雅黑" w:hAnsi="微软雅黑" w:eastAsia="微软雅黑"/>
                <w:sz w:val="18"/>
                <w:szCs w:val="18"/>
              </w:rPr>
            </w:pPr>
            <w:r>
              <w:rPr>
                <w:rFonts w:hint="eastAsia" w:ascii="微软雅黑" w:hAnsi="微软雅黑" w:eastAsia="微软雅黑"/>
                <w:b/>
                <w:bCs/>
                <w:sz w:val="18"/>
                <w:szCs w:val="18"/>
              </w:rPr>
              <w:t>“万物星”</w:t>
            </w:r>
            <w:r>
              <w:rPr>
                <w:rFonts w:hint="eastAsia" w:ascii="微软雅黑" w:hAnsi="微软雅黑" w:eastAsia="微软雅黑"/>
                <w:sz w:val="18"/>
                <w:szCs w:val="18"/>
              </w:rPr>
              <w:t>实习生招聘计划是万科物业校园招聘人才储备项目，本次实习计划将通过一系列实践学习活动帮助同学建立起对企业工作的基础认识，近距离感受万科的工作氛围与企业文化。实习生表现优异者将进入万科物业校园招聘人才储备名单，直接晋级成为“万物生”或获得“万物生”校园招聘终面直通车。</w:t>
            </w:r>
          </w:p>
          <w:p>
            <w:pPr>
              <w:spacing w:line="360" w:lineRule="auto"/>
              <w:ind w:firstLine="360" w:firstLineChars="200"/>
              <w:rPr>
                <w:rFonts w:hint="eastAsia" w:ascii="微软雅黑" w:hAnsi="微软雅黑" w:eastAsia="微软雅黑"/>
                <w:sz w:val="18"/>
                <w:szCs w:val="18"/>
              </w:rPr>
            </w:pPr>
          </w:p>
          <w:p>
            <w:pPr>
              <w:pStyle w:val="18"/>
              <w:numPr>
                <w:ilvl w:val="0"/>
                <w:numId w:val="1"/>
              </w:numPr>
              <w:adjustRightInd w:val="0"/>
              <w:snapToGrid w:val="0"/>
              <w:spacing w:line="360" w:lineRule="auto"/>
              <w:ind w:firstLineChars="0"/>
              <w:rPr>
                <w:rFonts w:ascii="微软雅黑" w:hAnsi="微软雅黑" w:eastAsia="微软雅黑"/>
                <w:b/>
                <w:color w:val="92D050"/>
                <w:sz w:val="18"/>
                <w:szCs w:val="18"/>
              </w:rPr>
            </w:pPr>
            <w:r>
              <w:rPr>
                <w:rFonts w:hint="eastAsia" w:ascii="微软雅黑" w:hAnsi="微软雅黑" w:eastAsia="微软雅黑"/>
                <w:b/>
                <w:color w:val="92D050"/>
                <w:sz w:val="18"/>
                <w:szCs w:val="18"/>
              </w:rPr>
              <w:t>万科物业201</w:t>
            </w:r>
            <w:r>
              <w:rPr>
                <w:rFonts w:ascii="微软雅黑" w:hAnsi="微软雅黑" w:eastAsia="微软雅黑"/>
                <w:b/>
                <w:color w:val="92D050"/>
                <w:sz w:val="18"/>
                <w:szCs w:val="18"/>
              </w:rPr>
              <w:t>8</w:t>
            </w:r>
            <w:r>
              <w:rPr>
                <w:rFonts w:hint="eastAsia" w:ascii="微软雅黑" w:hAnsi="微软雅黑" w:eastAsia="微软雅黑"/>
                <w:b/>
                <w:color w:val="92D050"/>
                <w:sz w:val="18"/>
                <w:szCs w:val="18"/>
              </w:rPr>
              <w:t>万物星招聘</w:t>
            </w:r>
          </w:p>
          <w:p>
            <w:pPr>
              <w:adjustRightInd w:val="0"/>
              <w:snapToGrid w:val="0"/>
              <w:spacing w:line="360" w:lineRule="auto"/>
              <w:ind w:right="330" w:rightChars="157" w:firstLine="180" w:firstLineChars="100"/>
              <w:rPr>
                <w:rFonts w:ascii="微软雅黑" w:hAnsi="微软雅黑" w:eastAsia="微软雅黑"/>
                <w:sz w:val="18"/>
                <w:szCs w:val="18"/>
              </w:rPr>
            </w:pPr>
            <w:r>
              <w:rPr>
                <w:rFonts w:hint="eastAsia" w:ascii="微软雅黑" w:hAnsi="微软雅黑" w:eastAsia="微软雅黑"/>
                <w:sz w:val="18"/>
                <w:szCs w:val="18"/>
              </w:rPr>
              <w:t>“万科物业2018万物星实习生招聘”于2018年5月正式启动，万科物业将在全国69个大中城市提供近400个就业岗位，集团将于5月中旬，在北京（天津、太原）、成都（贵阳、昆明、重庆）、佛山、广州（长沙、南宁）、杭州（宁波、南昌）、南京（合肥）、青岛（济南、烟台）、厦门（福州）、上海、深圳（东莞）、沈阳（大连）、苏州（无锡）、武汉（郑州、西安）、长春（哈尔滨）14个区域组织宣讲会。</w:t>
            </w:r>
          </w:p>
          <w:p>
            <w:pPr>
              <w:adjustRightInd w:val="0"/>
              <w:snapToGrid w:val="0"/>
              <w:spacing w:line="360" w:lineRule="auto"/>
              <w:ind w:right="330" w:rightChars="157" w:firstLine="360" w:firstLineChars="200"/>
              <w:rPr>
                <w:rFonts w:ascii="微软雅黑" w:hAnsi="微软雅黑" w:eastAsia="微软雅黑"/>
                <w:color w:val="000000"/>
                <w:sz w:val="18"/>
                <w:szCs w:val="18"/>
              </w:rPr>
            </w:pPr>
            <w:r>
              <w:rPr>
                <w:rFonts w:hint="eastAsia" w:ascii="微软雅黑" w:hAnsi="微软雅黑" w:eastAsia="微软雅黑"/>
                <w:color w:val="000000"/>
                <w:sz w:val="18"/>
                <w:szCs w:val="18"/>
              </w:rPr>
              <w:t>具体信息如下：</w:t>
            </w:r>
          </w:p>
          <w:p>
            <w:pPr>
              <w:pStyle w:val="18"/>
              <w:numPr>
                <w:ilvl w:val="0"/>
                <w:numId w:val="1"/>
              </w:numPr>
              <w:adjustRightInd w:val="0"/>
              <w:snapToGrid w:val="0"/>
              <w:spacing w:line="360" w:lineRule="auto"/>
              <w:ind w:firstLineChars="0"/>
              <w:rPr>
                <w:rFonts w:hint="eastAsia" w:ascii="微软雅黑" w:hAnsi="微软雅黑" w:eastAsia="微软雅黑"/>
                <w:b/>
                <w:color w:val="92D050"/>
                <w:sz w:val="18"/>
                <w:szCs w:val="18"/>
              </w:rPr>
            </w:pPr>
            <w:r>
              <w:rPr>
                <w:rFonts w:hint="eastAsia" w:ascii="微软雅黑" w:hAnsi="微软雅黑" w:eastAsia="微软雅黑"/>
                <w:b/>
                <w:color w:val="92D050"/>
                <w:sz w:val="18"/>
                <w:szCs w:val="18"/>
              </w:rPr>
              <w:t>岗位信息</w:t>
            </w:r>
          </w:p>
          <w:tbl>
            <w:tblPr>
              <w:tblStyle w:val="10"/>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418"/>
              <w:gridCol w:w="1842"/>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33" w:type="dxa"/>
                  <w:shd w:val="clear" w:color="auto" w:fill="92D050"/>
                  <w:vAlign w:val="center"/>
                </w:tcPr>
                <w:p>
                  <w:pPr>
                    <w:adjustRightInd w:val="0"/>
                    <w:snapToGrid w:val="0"/>
                    <w:spacing w:line="360" w:lineRule="auto"/>
                    <w:jc w:val="center"/>
                    <w:rPr>
                      <w:rFonts w:ascii="微软雅黑" w:hAnsi="微软雅黑" w:eastAsia="微软雅黑"/>
                      <w:b/>
                      <w:color w:val="000000" w:themeColor="text1"/>
                      <w:sz w:val="18"/>
                      <w:szCs w:val="18"/>
                      <w14:textFill>
                        <w14:solidFill>
                          <w14:schemeClr w14:val="tx1"/>
                        </w14:solidFill>
                      </w14:textFill>
                    </w:rPr>
                  </w:pPr>
                  <w:r>
                    <w:rPr>
                      <w:rFonts w:hint="eastAsia" w:ascii="微软雅黑" w:hAnsi="微软雅黑" w:eastAsia="微软雅黑"/>
                      <w:b/>
                      <w:bCs/>
                      <w:color w:val="000000" w:themeColor="text1"/>
                      <w:sz w:val="18"/>
                      <w:szCs w:val="18"/>
                      <w14:textFill>
                        <w14:solidFill>
                          <w14:schemeClr w14:val="tx1"/>
                        </w14:solidFill>
                      </w14:textFill>
                    </w:rPr>
                    <w:t>归属</w:t>
                  </w:r>
                </w:p>
              </w:tc>
              <w:tc>
                <w:tcPr>
                  <w:tcW w:w="1418" w:type="dxa"/>
                  <w:shd w:val="clear" w:color="auto" w:fill="92D050"/>
                  <w:vAlign w:val="center"/>
                </w:tcPr>
                <w:p>
                  <w:pPr>
                    <w:adjustRightInd w:val="0"/>
                    <w:snapToGrid w:val="0"/>
                    <w:spacing w:line="360" w:lineRule="auto"/>
                    <w:jc w:val="center"/>
                    <w:rPr>
                      <w:rFonts w:ascii="微软雅黑" w:hAnsi="微软雅黑" w:eastAsia="微软雅黑"/>
                      <w:b/>
                      <w:color w:val="000000" w:themeColor="text1"/>
                      <w:sz w:val="18"/>
                      <w:szCs w:val="18"/>
                      <w14:textFill>
                        <w14:solidFill>
                          <w14:schemeClr w14:val="tx1"/>
                        </w14:solidFill>
                      </w14:textFill>
                    </w:rPr>
                  </w:pPr>
                  <w:r>
                    <w:rPr>
                      <w:rFonts w:hint="eastAsia" w:ascii="微软雅黑" w:hAnsi="微软雅黑" w:eastAsia="微软雅黑"/>
                      <w:b/>
                      <w:bCs/>
                      <w:color w:val="000000" w:themeColor="text1"/>
                      <w:sz w:val="18"/>
                      <w:szCs w:val="18"/>
                      <w14:textFill>
                        <w14:solidFill>
                          <w14:schemeClr w14:val="tx1"/>
                        </w14:solidFill>
                      </w14:textFill>
                    </w:rPr>
                    <w:t>岗位类别</w:t>
                  </w:r>
                </w:p>
              </w:tc>
              <w:tc>
                <w:tcPr>
                  <w:tcW w:w="1842" w:type="dxa"/>
                  <w:shd w:val="clear" w:color="auto" w:fill="92D050"/>
                  <w:vAlign w:val="center"/>
                </w:tcPr>
                <w:p>
                  <w:pPr>
                    <w:adjustRightInd w:val="0"/>
                    <w:snapToGrid w:val="0"/>
                    <w:spacing w:line="360" w:lineRule="auto"/>
                    <w:jc w:val="center"/>
                    <w:rPr>
                      <w:rFonts w:ascii="微软雅黑" w:hAnsi="微软雅黑" w:eastAsia="微软雅黑"/>
                      <w:b/>
                      <w:color w:val="000000" w:themeColor="text1"/>
                      <w:sz w:val="18"/>
                      <w:szCs w:val="18"/>
                      <w14:textFill>
                        <w14:solidFill>
                          <w14:schemeClr w14:val="tx1"/>
                        </w14:solidFill>
                      </w14:textFill>
                    </w:rPr>
                  </w:pPr>
                  <w:r>
                    <w:rPr>
                      <w:rFonts w:hint="eastAsia" w:ascii="微软雅黑" w:hAnsi="微软雅黑" w:eastAsia="微软雅黑"/>
                      <w:b/>
                      <w:bCs/>
                      <w:color w:val="000000" w:themeColor="text1"/>
                      <w:sz w:val="18"/>
                      <w:szCs w:val="18"/>
                      <w14:textFill>
                        <w14:solidFill>
                          <w14:schemeClr w14:val="tx1"/>
                        </w14:solidFill>
                      </w14:textFill>
                    </w:rPr>
                    <w:t>岗位名称</w:t>
                  </w:r>
                </w:p>
              </w:tc>
              <w:tc>
                <w:tcPr>
                  <w:tcW w:w="5812" w:type="dxa"/>
                  <w:shd w:val="clear" w:color="auto" w:fill="92D050"/>
                  <w:vAlign w:val="center"/>
                </w:tcPr>
                <w:p>
                  <w:pPr>
                    <w:adjustRightInd w:val="0"/>
                    <w:snapToGrid w:val="0"/>
                    <w:spacing w:line="360" w:lineRule="auto"/>
                    <w:jc w:val="center"/>
                    <w:rPr>
                      <w:rFonts w:ascii="微软雅黑" w:hAnsi="微软雅黑" w:eastAsia="微软雅黑"/>
                      <w:b/>
                      <w:color w:val="000000" w:themeColor="text1"/>
                      <w:sz w:val="18"/>
                      <w:szCs w:val="18"/>
                      <w14:textFill>
                        <w14:solidFill>
                          <w14:schemeClr w14:val="tx1"/>
                        </w14:solidFill>
                      </w14:textFill>
                    </w:rPr>
                  </w:pPr>
                  <w:r>
                    <w:rPr>
                      <w:rFonts w:hint="eastAsia" w:ascii="微软雅黑" w:hAnsi="微软雅黑" w:eastAsia="微软雅黑"/>
                      <w:b/>
                      <w:bCs/>
                      <w:color w:val="000000" w:themeColor="text1"/>
                      <w:sz w:val="18"/>
                      <w:szCs w:val="18"/>
                      <w14:textFill>
                        <w14:solidFill>
                          <w14:schemeClr w14:val="tx1"/>
                        </w14:solidFill>
                      </w14:textFill>
                    </w:rPr>
                    <w:t>目标专业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133" w:type="dxa"/>
                  <w:vMerge w:val="restart"/>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业务类</w:t>
                  </w:r>
                </w:p>
              </w:tc>
              <w:tc>
                <w:tcPr>
                  <w:tcW w:w="1418" w:type="dxa"/>
                  <w:vMerge w:val="restart"/>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项目运营类</w:t>
                  </w: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住宅运营岗</w:t>
                  </w:r>
                </w:p>
              </w:tc>
              <w:tc>
                <w:tcPr>
                  <w:tcW w:w="5812" w:type="dxa"/>
                  <w:vMerge w:val="restart"/>
                  <w:vAlign w:val="center"/>
                </w:tcPr>
                <w:p>
                  <w:pPr>
                    <w:adjustRightInd w:val="0"/>
                    <w:snapToGrid w:val="0"/>
                    <w:spacing w:line="360" w:lineRule="auto"/>
                    <w:jc w:val="left"/>
                    <w:rPr>
                      <w:rFonts w:hint="eastAsia" w:ascii="微软雅黑" w:hAnsi="微软雅黑" w:eastAsia="微软雅黑"/>
                      <w:color w:val="000000" w:themeColor="text1"/>
                      <w:sz w:val="18"/>
                      <w:szCs w:val="18"/>
                      <w:lang w:eastAsia="zh-CN"/>
                      <w14:textFill>
                        <w14:solidFill>
                          <w14:schemeClr w14:val="tx1"/>
                        </w14:solidFill>
                      </w14:textFill>
                    </w:rPr>
                  </w:pPr>
                  <w:r>
                    <w:rPr>
                      <w:rFonts w:hint="eastAsia" w:ascii="微软雅黑" w:hAnsi="微软雅黑" w:eastAsia="微软雅黑"/>
                      <w:color w:val="000000" w:themeColor="text1"/>
                      <w:sz w:val="18"/>
                      <w:szCs w:val="18"/>
                      <w:lang w:val="en-US" w:eastAsia="zh-CN"/>
                      <w14:textFill>
                        <w14:solidFill>
                          <w14:schemeClr w14:val="tx1"/>
                        </w14:solidFill>
                      </w14:textFill>
                    </w:rPr>
                    <w:t>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商写运营岗</w:t>
                  </w:r>
                </w:p>
              </w:tc>
              <w:tc>
                <w:tcPr>
                  <w:tcW w:w="5812" w:type="dxa"/>
                  <w:vMerge w:val="continue"/>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案场运营岗</w:t>
                  </w:r>
                </w:p>
              </w:tc>
              <w:tc>
                <w:tcPr>
                  <w:tcW w:w="5812" w:type="dxa"/>
                  <w:vMerge w:val="continue"/>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33"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经营类</w:t>
                  </w:r>
                </w:p>
              </w:tc>
              <w:tc>
                <w:tcPr>
                  <w:tcW w:w="1418"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市拓营销类</w:t>
                  </w: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资产顾问岗</w:t>
                  </w:r>
                </w:p>
              </w:tc>
              <w:tc>
                <w:tcPr>
                  <w:tcW w:w="5812" w:type="dxa"/>
                  <w:vAlign w:val="center"/>
                </w:tcPr>
                <w:p>
                  <w:pPr>
                    <w:adjustRightInd w:val="0"/>
                    <w:snapToGrid w:val="0"/>
                    <w:spacing w:line="360" w:lineRule="auto"/>
                    <w:jc w:val="left"/>
                    <w:rPr>
                      <w:rFonts w:hint="eastAsia" w:ascii="微软雅黑" w:hAnsi="微软雅黑" w:eastAsia="微软雅黑"/>
                      <w:color w:val="000000" w:themeColor="text1"/>
                      <w:sz w:val="18"/>
                      <w:szCs w:val="18"/>
                      <w:lang w:eastAsia="zh-CN"/>
                      <w14:textFill>
                        <w14:solidFill>
                          <w14:schemeClr w14:val="tx1"/>
                        </w14:solidFill>
                      </w14:textFill>
                    </w:rPr>
                  </w:pPr>
                  <w:r>
                    <w:rPr>
                      <w:rFonts w:hint="eastAsia" w:ascii="微软雅黑" w:hAnsi="微软雅黑" w:eastAsia="微软雅黑"/>
                      <w:color w:val="000000" w:themeColor="text1"/>
                      <w:sz w:val="18"/>
                      <w:szCs w:val="18"/>
                      <w:lang w:val="en-US" w:eastAsia="zh-CN"/>
                      <w14:textFill>
                        <w14:solidFill>
                          <w14:schemeClr w14:val="tx1"/>
                        </w14:solidFill>
                      </w14:textFill>
                    </w:rPr>
                    <w:t>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33" w:type="dxa"/>
                  <w:vMerge w:val="restart"/>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职能类</w:t>
                  </w:r>
                </w:p>
              </w:tc>
              <w:tc>
                <w:tcPr>
                  <w:tcW w:w="1418"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财务管理类</w:t>
                  </w: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财务核算岗</w:t>
                  </w:r>
                </w:p>
              </w:tc>
              <w:tc>
                <w:tcPr>
                  <w:tcW w:w="5812" w:type="dxa"/>
                  <w:vMerge w:val="restart"/>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人力资源、心理学、行政管理、财务管理、会计学、统计学、法学等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人力资源类</w:t>
                  </w: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人力资源岗</w:t>
                  </w:r>
                </w:p>
              </w:tc>
              <w:tc>
                <w:tcPr>
                  <w:tcW w:w="5812" w:type="dxa"/>
                  <w:vMerge w:val="continue"/>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综合管理类</w:t>
                  </w: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行政信息岗</w:t>
                  </w:r>
                </w:p>
              </w:tc>
              <w:tc>
                <w:tcPr>
                  <w:tcW w:w="5812" w:type="dxa"/>
                  <w:vMerge w:val="continue"/>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运营管理类</w:t>
                  </w: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运营中心储备</w:t>
                  </w:r>
                </w:p>
              </w:tc>
              <w:tc>
                <w:tcPr>
                  <w:tcW w:w="5812" w:type="dxa"/>
                  <w:vMerge w:val="continue"/>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133" w:type="dxa"/>
                  <w:vMerge w:val="restart"/>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技术类</w:t>
                  </w:r>
                </w:p>
              </w:tc>
              <w:tc>
                <w:tcPr>
                  <w:tcW w:w="1418" w:type="dxa"/>
                  <w:vMerge w:val="restart"/>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设备工程类</w:t>
                  </w: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暖通管理岗</w:t>
                  </w:r>
                </w:p>
              </w:tc>
              <w:tc>
                <w:tcPr>
                  <w:tcW w:w="5812" w:type="dxa"/>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建筑环境与设备工程、能源与动力工程、给排水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强电管理岗</w:t>
                  </w:r>
                </w:p>
              </w:tc>
              <w:tc>
                <w:tcPr>
                  <w:tcW w:w="5812" w:type="dxa"/>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建筑电气与智能化、电气工程及自动化、机电一体化等相关专业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弱电管理岗</w:t>
                  </w:r>
                </w:p>
              </w:tc>
              <w:tc>
                <w:tcPr>
                  <w:tcW w:w="5812" w:type="dxa"/>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计算机网络工程/电气工程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维修技术岗</w:t>
                  </w:r>
                </w:p>
              </w:tc>
              <w:tc>
                <w:tcPr>
                  <w:tcW w:w="5812" w:type="dxa"/>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工民建专业及强电、弱电、暖通专业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Merge w:val="restart"/>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环境工程类</w:t>
                  </w: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住宅环境管理岗</w:t>
                  </w:r>
                </w:p>
              </w:tc>
              <w:tc>
                <w:tcPr>
                  <w:tcW w:w="5812" w:type="dxa"/>
                  <w:vMerge w:val="restart"/>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环境工程、园艺园林、城乡规划、化学专业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商写环境管理岗</w:t>
                  </w:r>
                </w:p>
              </w:tc>
              <w:tc>
                <w:tcPr>
                  <w:tcW w:w="5812" w:type="dxa"/>
                  <w:vMerge w:val="continue"/>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1133" w:type="dxa"/>
                  <w:vMerge w:val="continue"/>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p>
              </w:tc>
              <w:tc>
                <w:tcPr>
                  <w:tcW w:w="1418"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bCs/>
                      <w:color w:val="000000" w:themeColor="text1"/>
                      <w:sz w:val="18"/>
                      <w:szCs w:val="18"/>
                      <w14:textFill>
                        <w14:solidFill>
                          <w14:schemeClr w14:val="tx1"/>
                        </w14:solidFill>
                      </w14:textFill>
                    </w:rPr>
                    <w:t>IT类</w:t>
                  </w:r>
                </w:p>
              </w:tc>
              <w:tc>
                <w:tcPr>
                  <w:tcW w:w="1842" w:type="dxa"/>
                  <w:vAlign w:val="center"/>
                </w:tcPr>
                <w:p>
                  <w:pPr>
                    <w:adjustRightInd w:val="0"/>
                    <w:snapToGrid w:val="0"/>
                    <w:spacing w:line="360" w:lineRule="auto"/>
                    <w:jc w:val="cente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IT岗</w:t>
                  </w:r>
                </w:p>
              </w:tc>
              <w:tc>
                <w:tcPr>
                  <w:tcW w:w="5812" w:type="dxa"/>
                  <w:vAlign w:val="center"/>
                </w:tcPr>
                <w:p>
                  <w:pPr>
                    <w:adjustRightInd w:val="0"/>
                    <w:snapToGrid w:val="0"/>
                    <w:spacing w:line="360" w:lineRule="auto"/>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计算机相关专业</w:t>
                  </w:r>
                </w:p>
              </w:tc>
            </w:tr>
          </w:tbl>
          <w:p>
            <w:pPr>
              <w:adjustRightInd w:val="0"/>
              <w:snapToGrid w:val="0"/>
              <w:spacing w:line="360" w:lineRule="auto"/>
              <w:jc w:val="right"/>
              <w:rPr>
                <w:rFonts w:ascii="微软雅黑" w:hAnsi="微软雅黑" w:eastAsia="微软雅黑"/>
                <w:b/>
                <w:color w:val="00B050"/>
                <w:sz w:val="18"/>
                <w:szCs w:val="18"/>
              </w:rPr>
            </w:pPr>
          </w:p>
          <w:p>
            <w:pPr>
              <w:adjustRightInd w:val="0"/>
              <w:snapToGrid w:val="0"/>
              <w:spacing w:line="360" w:lineRule="auto"/>
              <w:ind w:right="720"/>
              <w:rPr>
                <w:rFonts w:ascii="微软雅黑" w:hAnsi="微软雅黑" w:eastAsia="微软雅黑"/>
                <w:b/>
                <w:color w:val="00B050"/>
                <w:sz w:val="18"/>
                <w:szCs w:val="18"/>
              </w:rPr>
            </w:pPr>
          </w:p>
          <w:p>
            <w:pPr>
              <w:pStyle w:val="18"/>
              <w:numPr>
                <w:ilvl w:val="0"/>
                <w:numId w:val="1"/>
              </w:numPr>
              <w:adjustRightInd w:val="0"/>
              <w:snapToGrid w:val="0"/>
              <w:spacing w:line="360" w:lineRule="auto"/>
              <w:ind w:firstLineChars="0"/>
              <w:rPr>
                <w:rFonts w:hint="eastAsia" w:ascii="微软雅黑" w:hAnsi="微软雅黑" w:eastAsia="微软雅黑"/>
                <w:b/>
                <w:color w:val="92D050"/>
                <w:sz w:val="18"/>
                <w:szCs w:val="18"/>
              </w:rPr>
            </w:pPr>
            <w:r>
              <w:rPr>
                <w:rFonts w:hint="eastAsia" w:ascii="微软雅黑" w:hAnsi="微软雅黑" w:eastAsia="微软雅黑"/>
                <w:b/>
                <w:color w:val="92D050"/>
                <w:sz w:val="18"/>
                <w:szCs w:val="18"/>
              </w:rPr>
              <w:t>校园宣讲会行程</w:t>
            </w:r>
          </w:p>
          <w:p>
            <w:pPr>
              <w:pStyle w:val="18"/>
              <w:adjustRightInd w:val="0"/>
              <w:snapToGrid w:val="0"/>
              <w:spacing w:line="360" w:lineRule="auto"/>
              <w:ind w:left="420" w:firstLine="0" w:firstLineChars="0"/>
              <w:rPr>
                <w:rFonts w:hint="eastAsia" w:ascii="微软雅黑" w:hAnsi="微软雅黑" w:eastAsia="微软雅黑" w:cs="微软雅黑"/>
                <w:b/>
                <w:bCs/>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5月17日下午14时华中农业大学</w:t>
            </w:r>
            <w:r>
              <w:rPr>
                <w:rFonts w:hint="eastAsia" w:ascii="微软雅黑" w:hAnsi="微软雅黑" w:eastAsia="微软雅黑" w:cs="微软雅黑"/>
                <w:b/>
                <w:bCs/>
                <w:i w:val="0"/>
                <w:caps w:val="0"/>
                <w:color w:val="666666"/>
                <w:spacing w:val="0"/>
                <w:sz w:val="18"/>
                <w:szCs w:val="18"/>
                <w:shd w:val="clear" w:fill="FFFFFF"/>
              </w:rPr>
              <w:t>学生综合服务大楼421</w:t>
            </w:r>
          </w:p>
          <w:p>
            <w:pPr>
              <w:pStyle w:val="18"/>
              <w:adjustRightInd w:val="0"/>
              <w:snapToGrid w:val="0"/>
              <w:spacing w:line="360" w:lineRule="auto"/>
              <w:ind w:left="420" w:firstLine="0" w:firstLineChars="0"/>
              <w:rPr>
                <w:rFonts w:hint="eastAsia" w:ascii="微软雅黑" w:hAnsi="微软雅黑" w:eastAsia="微软雅黑"/>
                <w:color w:val="000000" w:themeColor="text1"/>
                <w:sz w:val="18"/>
                <w:szCs w:val="18"/>
                <w:lang w:val="en-US" w:eastAsia="zh-CN"/>
                <w14:textFill>
                  <w14:solidFill>
                    <w14:schemeClr w14:val="tx1"/>
                  </w14:solidFill>
                </w14:textFill>
              </w:rPr>
            </w:pPr>
            <w:r>
              <w:rPr>
                <w:rFonts w:hint="eastAsia" w:ascii="微软雅黑" w:hAnsi="微软雅黑" w:eastAsia="微软雅黑"/>
                <w:color w:val="000000" w:themeColor="text1"/>
                <w:sz w:val="18"/>
                <w:szCs w:val="18"/>
                <w:lang w:val="en-US" w:eastAsia="zh-CN"/>
                <w14:textFill>
                  <w14:solidFill>
                    <w14:schemeClr w14:val="tx1"/>
                  </w14:solidFill>
                </w14:textFill>
              </w:rPr>
              <w:t>5月18日下午14时武汉科技大学黄家湖校区城建学院52302多媒体教室</w:t>
            </w:r>
          </w:p>
          <w:p>
            <w:pPr>
              <w:pStyle w:val="18"/>
              <w:numPr>
                <w:ilvl w:val="0"/>
                <w:numId w:val="1"/>
              </w:numPr>
              <w:adjustRightInd w:val="0"/>
              <w:snapToGrid w:val="0"/>
              <w:spacing w:line="360" w:lineRule="auto"/>
              <w:ind w:firstLineChars="0"/>
              <w:rPr>
                <w:rFonts w:ascii="微软雅黑" w:hAnsi="微软雅黑" w:eastAsia="微软雅黑"/>
                <w:b/>
                <w:color w:val="92D050"/>
                <w:sz w:val="18"/>
                <w:szCs w:val="18"/>
              </w:rPr>
            </w:pPr>
            <w:r>
              <w:rPr>
                <w:rFonts w:hint="eastAsia" w:ascii="微软雅黑" w:hAnsi="微软雅黑" w:eastAsia="微软雅黑"/>
                <w:b/>
                <w:color w:val="92D050"/>
                <w:sz w:val="18"/>
                <w:szCs w:val="18"/>
              </w:rPr>
              <w:t>假如，加入万科物业，你将会</w:t>
            </w:r>
          </w:p>
          <w:p>
            <w:pPr>
              <w:widowControl/>
              <w:shd w:val="clear" w:color="auto" w:fill="FFFFFF"/>
              <w:spacing w:beforeAutospacing="1" w:after="100" w:afterAutospacing="1"/>
              <w:jc w:val="center"/>
              <w:outlineLvl w:val="2"/>
              <w:rPr>
                <w:rFonts w:ascii="微软雅黑" w:hAnsi="微软雅黑" w:eastAsia="微软雅黑" w:cs="宋体"/>
                <w:b/>
                <w:bCs/>
                <w:kern w:val="0"/>
                <w:sz w:val="18"/>
                <w:szCs w:val="18"/>
                <w:lang w:val="en"/>
              </w:rPr>
            </w:pPr>
            <w:r>
              <w:rPr>
                <w:rFonts w:hint="eastAsia" w:ascii="微软雅黑" w:hAnsi="微软雅黑" w:eastAsia="微软雅黑" w:cs="宋体"/>
                <w:b/>
                <w:bCs/>
                <w:kern w:val="0"/>
                <w:sz w:val="18"/>
                <w:szCs w:val="18"/>
                <w:lang w:val="en"/>
              </w:rPr>
              <w:t>登上广阔的事业舞台</w:t>
            </w:r>
          </w:p>
          <w:p>
            <w:pPr>
              <w:widowControl/>
              <w:shd w:val="clear" w:color="auto" w:fill="FFFFFF"/>
              <w:adjustRightInd w:val="0"/>
              <w:snapToGrid w:val="0"/>
              <w:spacing w:before="100" w:beforeAutospacing="1" w:after="100" w:afterAutospacing="1"/>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改变千万业主的生活方式</w:t>
            </w:r>
          </w:p>
          <w:p>
            <w:pPr>
              <w:widowControl/>
              <w:shd w:val="clear" w:color="auto" w:fill="FFFFFF"/>
              <w:adjustRightInd w:val="0"/>
              <w:snapToGrid w:val="0"/>
              <w:spacing w:before="100" w:beforeAutospacing="1" w:after="100" w:afterAutospacing="1"/>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用最聪明的头脑挑战物联网最有价值的问题</w:t>
            </w:r>
          </w:p>
          <w:p>
            <w:pPr>
              <w:widowControl/>
              <w:shd w:val="clear" w:color="auto" w:fill="FFFFFF"/>
              <w:adjustRightInd w:val="0"/>
              <w:snapToGrid w:val="0"/>
              <w:spacing w:before="100" w:beforeAutospacing="1" w:after="100" w:afterAutospacing="1"/>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站在金字塔尖的朝阳行业，助力中国物业发展</w:t>
            </w:r>
          </w:p>
          <w:p>
            <w:pPr>
              <w:widowControl/>
              <w:shd w:val="clear" w:color="auto" w:fill="FFFFFF"/>
              <w:adjustRightInd w:val="0"/>
              <w:snapToGrid w:val="0"/>
              <w:spacing w:before="100" w:beforeAutospacing="1" w:after="100" w:afterAutospacing="1"/>
              <w:jc w:val="center"/>
              <w:outlineLvl w:val="2"/>
              <w:rPr>
                <w:rFonts w:ascii="微软雅黑" w:hAnsi="微软雅黑" w:eastAsia="微软雅黑" w:cs="宋体"/>
                <w:b/>
                <w:bCs/>
                <w:kern w:val="0"/>
                <w:sz w:val="18"/>
                <w:szCs w:val="18"/>
                <w:lang w:val="en"/>
              </w:rPr>
            </w:pPr>
            <w:r>
              <w:rPr>
                <w:rFonts w:hint="eastAsia" w:ascii="微软雅黑" w:hAnsi="微软雅黑" w:eastAsia="微软雅黑" w:cs="宋体"/>
                <w:b/>
                <w:bCs/>
                <w:kern w:val="0"/>
                <w:sz w:val="18"/>
                <w:szCs w:val="18"/>
                <w:lang w:val="en"/>
              </w:rPr>
              <w:t>在简单的氛围里工作</w:t>
            </w:r>
          </w:p>
          <w:p>
            <w:pPr>
              <w:widowControl/>
              <w:shd w:val="clear" w:color="auto" w:fill="FFFFFF"/>
              <w:adjustRightInd w:val="0"/>
              <w:snapToGrid w:val="0"/>
              <w:spacing w:before="100" w:beforeAutospacing="1" w:after="100" w:afterAutospacing="1"/>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良好的沟通环境：十二条沟通渠道</w:t>
            </w:r>
          </w:p>
          <w:p>
            <w:pPr>
              <w:widowControl/>
              <w:shd w:val="clear" w:color="auto" w:fill="FFFFFF"/>
              <w:adjustRightInd w:val="0"/>
              <w:snapToGrid w:val="0"/>
              <w:spacing w:before="100" w:beforeAutospacing="1" w:after="100" w:afterAutospacing="1"/>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阳光透明的工作氛围：用人唯贤、举贤避亲</w:t>
            </w:r>
          </w:p>
          <w:p>
            <w:pPr>
              <w:widowControl/>
              <w:shd w:val="clear" w:color="auto" w:fill="FFFFFF"/>
              <w:adjustRightInd w:val="0"/>
              <w:snapToGrid w:val="0"/>
              <w:spacing w:before="100" w:beforeAutospacing="1" w:after="100" w:afterAutospacing="1"/>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简单的人际关系：职工委员会、共济会、关爱计划、职员互助理财计划</w:t>
            </w:r>
          </w:p>
          <w:p>
            <w:pPr>
              <w:widowControl/>
              <w:shd w:val="clear" w:color="auto" w:fill="FFFFFF"/>
              <w:adjustRightInd w:val="0"/>
              <w:snapToGrid w:val="0"/>
              <w:spacing w:before="100" w:beforeAutospacing="1" w:after="100" w:afterAutospacing="1"/>
              <w:jc w:val="center"/>
              <w:rPr>
                <w:rFonts w:ascii="微软雅黑" w:hAnsi="微软雅黑" w:eastAsia="微软雅黑" w:cs="宋体"/>
                <w:b/>
                <w:kern w:val="0"/>
                <w:sz w:val="18"/>
                <w:szCs w:val="18"/>
                <w:lang w:val="en"/>
              </w:rPr>
            </w:pPr>
            <w:r>
              <w:rPr>
                <w:rFonts w:hint="eastAsia" w:ascii="微软雅黑" w:hAnsi="微软雅黑" w:eastAsia="微软雅黑" w:cs="宋体"/>
                <w:b/>
                <w:kern w:val="0"/>
                <w:sz w:val="18"/>
                <w:szCs w:val="18"/>
                <w:lang w:val="en"/>
              </w:rPr>
              <w:t>为事业提升的速度惊叹</w:t>
            </w:r>
          </w:p>
          <w:p>
            <w:pPr>
              <w:widowControl/>
              <w:shd w:val="clear" w:color="auto" w:fill="FFFFFF"/>
              <w:spacing w:line="360" w:lineRule="auto"/>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优秀人才脱颖而出：海豚行动、完善的晋升机制</w:t>
            </w:r>
          </w:p>
          <w:p>
            <w:pPr>
              <w:widowControl/>
              <w:shd w:val="clear" w:color="auto" w:fill="FFFFFF"/>
              <w:adjustRightInd w:val="0"/>
              <w:snapToGrid w:val="0"/>
              <w:spacing w:line="360" w:lineRule="auto"/>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内部流动平台、事业合伙人机制 、内部创业机制，三种职业发展道路</w:t>
            </w:r>
          </w:p>
          <w:p>
            <w:pPr>
              <w:widowControl/>
              <w:shd w:val="clear" w:color="auto" w:fill="FFFFFF"/>
              <w:spacing w:line="360" w:lineRule="auto"/>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站在物业行业最前沿，掌握最领先的产品、技术、理念，获得快速学习和成长</w:t>
            </w:r>
          </w:p>
          <w:p>
            <w:pPr>
              <w:widowControl/>
              <w:shd w:val="clear" w:color="auto" w:fill="FFFFFF"/>
              <w:spacing w:line="360" w:lineRule="auto"/>
              <w:jc w:val="center"/>
              <w:rPr>
                <w:rFonts w:ascii="微软雅黑" w:hAnsi="微软雅黑" w:eastAsia="微软雅黑" w:cs="宋体"/>
                <w:b/>
                <w:kern w:val="0"/>
                <w:sz w:val="18"/>
                <w:szCs w:val="18"/>
                <w:lang w:val="en"/>
              </w:rPr>
            </w:pPr>
            <w:r>
              <w:rPr>
                <w:rFonts w:hint="eastAsia" w:ascii="微软雅黑" w:hAnsi="微软雅黑" w:eastAsia="微软雅黑" w:cs="宋体"/>
                <w:b/>
                <w:kern w:val="0"/>
                <w:sz w:val="18"/>
                <w:szCs w:val="18"/>
                <w:lang w:val="en"/>
              </w:rPr>
              <w:t>拥有完善的薪酬福利</w:t>
            </w:r>
          </w:p>
          <w:p>
            <w:pPr>
              <w:widowControl/>
              <w:shd w:val="clear" w:color="auto" w:fill="FFFFFF"/>
              <w:spacing w:line="360" w:lineRule="auto"/>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为卓越加薪： 市场化原则，一份耕耘，一份收获</w:t>
            </w:r>
          </w:p>
          <w:p>
            <w:pPr>
              <w:widowControl/>
              <w:shd w:val="clear" w:color="auto" w:fill="FFFFFF"/>
              <w:spacing w:line="360" w:lineRule="auto"/>
              <w:jc w:val="center"/>
              <w:rPr>
                <w:rFonts w:ascii="微软雅黑" w:hAnsi="微软雅黑" w:eastAsia="微软雅黑" w:cs="宋体"/>
                <w:kern w:val="0"/>
                <w:sz w:val="18"/>
                <w:szCs w:val="18"/>
                <w:lang w:val="en"/>
              </w:rPr>
            </w:pPr>
            <w:r>
              <w:rPr>
                <w:rFonts w:hint="eastAsia" w:ascii="微软雅黑" w:hAnsi="微软雅黑" w:eastAsia="微软雅黑" w:cs="宋体"/>
                <w:kern w:val="0"/>
                <w:sz w:val="18"/>
                <w:szCs w:val="18"/>
                <w:lang w:val="en"/>
              </w:rPr>
              <w:t>全面的健康计划：每人每年200公里跑步计划，年度免费体检</w:t>
            </w:r>
          </w:p>
          <w:p>
            <w:pPr>
              <w:widowControl/>
              <w:shd w:val="clear" w:color="auto" w:fill="FFFFFF"/>
              <w:spacing w:line="360" w:lineRule="auto"/>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lang w:val="en"/>
              </w:rPr>
              <w:t>薪酬福利：工资、奖金、持股计划、</w:t>
            </w:r>
            <w:r>
              <w:rPr>
                <w:rFonts w:hint="eastAsia" w:ascii="微软雅黑" w:hAnsi="微软雅黑" w:eastAsia="微软雅黑" w:cs="宋体"/>
                <w:kern w:val="0"/>
                <w:sz w:val="18"/>
                <w:szCs w:val="18"/>
              </w:rPr>
              <w:t>交通补贴、通讯补贴、</w:t>
            </w:r>
          </w:p>
          <w:p>
            <w:pPr>
              <w:widowControl/>
              <w:shd w:val="clear" w:color="auto" w:fill="FFFFFF"/>
              <w:spacing w:line="360" w:lineRule="auto"/>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额外带薪年休假、员工宿舍（短期过渡）、内部购房折扣、七险一金</w:t>
            </w:r>
          </w:p>
          <w:p>
            <w:pPr>
              <w:widowControl/>
              <w:shd w:val="clear" w:color="auto" w:fill="FFFFFF"/>
              <w:spacing w:line="360" w:lineRule="auto"/>
              <w:jc w:val="center"/>
              <w:rPr>
                <w:rFonts w:ascii="微软雅黑" w:hAnsi="微软雅黑" w:eastAsia="微软雅黑" w:cs="宋体"/>
                <w:kern w:val="0"/>
                <w:sz w:val="18"/>
                <w:szCs w:val="18"/>
              </w:rPr>
            </w:pPr>
          </w:p>
          <w:p>
            <w:pPr>
              <w:jc w:val="left"/>
              <w:rPr>
                <w:rFonts w:ascii="微软雅黑" w:hAnsi="微软雅黑" w:eastAsia="微软雅黑"/>
                <w:sz w:val="18"/>
                <w:szCs w:val="18"/>
              </w:rPr>
            </w:pPr>
          </w:p>
          <w:p>
            <w:pPr>
              <w:pStyle w:val="18"/>
              <w:numPr>
                <w:ilvl w:val="0"/>
                <w:numId w:val="1"/>
              </w:numPr>
              <w:adjustRightInd w:val="0"/>
              <w:snapToGrid w:val="0"/>
              <w:spacing w:line="360" w:lineRule="auto"/>
              <w:ind w:firstLineChars="0"/>
              <w:rPr>
                <w:rFonts w:ascii="微软雅黑" w:hAnsi="微软雅黑" w:eastAsia="微软雅黑"/>
                <w:b/>
                <w:color w:val="92D050"/>
                <w:sz w:val="18"/>
                <w:szCs w:val="18"/>
              </w:rPr>
            </w:pPr>
            <w:r>
              <w:rPr>
                <w:rFonts w:hint="eastAsia" w:ascii="微软雅黑" w:hAnsi="微软雅黑" w:eastAsia="微软雅黑"/>
                <w:b/>
                <w:color w:val="92D050"/>
                <w:sz w:val="18"/>
                <w:szCs w:val="18"/>
              </w:rPr>
              <w:t>在线投递简历</w:t>
            </w:r>
          </w:p>
          <w:p>
            <w:pPr>
              <w:adjustRightInd w:val="0"/>
              <w:snapToGrid w:val="0"/>
              <w:spacing w:line="360" w:lineRule="auto"/>
              <w:ind w:right="330" w:rightChars="157" w:firstLine="360" w:firstLineChars="200"/>
              <w:rPr>
                <w:rFonts w:ascii="微软雅黑" w:hAnsi="微软雅黑" w:eastAsia="微软雅黑"/>
                <w:color w:val="000000"/>
                <w:sz w:val="18"/>
                <w:szCs w:val="18"/>
              </w:rPr>
            </w:pPr>
            <w:r>
              <w:rPr>
                <w:rFonts w:hint="eastAsia" w:ascii="微软雅黑" w:hAnsi="微软雅黑" w:eastAsia="微软雅黑"/>
                <w:color w:val="000000"/>
                <w:sz w:val="18"/>
                <w:szCs w:val="18"/>
              </w:rPr>
              <w:t>请登录</w:t>
            </w:r>
            <w:r>
              <w:rPr>
                <w:rFonts w:ascii="微软雅黑" w:hAnsi="微软雅黑" w:eastAsia="微软雅黑"/>
                <w:sz w:val="18"/>
                <w:szCs w:val="18"/>
                <w:u w:val="single"/>
              </w:rPr>
              <w:t>http://rc.vanke.com/positions/school?brand=28</w:t>
            </w:r>
            <w:r>
              <w:rPr>
                <w:rFonts w:hint="eastAsia" w:ascii="微软雅黑" w:hAnsi="微软雅黑" w:eastAsia="微软雅黑"/>
                <w:sz w:val="18"/>
                <w:szCs w:val="18"/>
              </w:rPr>
              <w:t>，</w:t>
            </w:r>
            <w:r>
              <w:rPr>
                <w:rFonts w:hint="eastAsia" w:ascii="微软雅黑" w:hAnsi="微软雅黑" w:eastAsia="微软雅黑"/>
                <w:color w:val="000000"/>
                <w:sz w:val="18"/>
                <w:szCs w:val="18"/>
              </w:rPr>
              <w:t>了解职位信息，每位同学最多只能投递</w:t>
            </w:r>
            <w:r>
              <w:rPr>
                <w:rFonts w:ascii="微软雅黑" w:hAnsi="微软雅黑" w:eastAsia="微软雅黑"/>
                <w:color w:val="000000"/>
                <w:sz w:val="18"/>
                <w:szCs w:val="18"/>
              </w:rPr>
              <w:t>4</w:t>
            </w:r>
            <w:r>
              <w:rPr>
                <w:rFonts w:hint="eastAsia" w:ascii="微软雅黑" w:hAnsi="微软雅黑" w:eastAsia="微软雅黑"/>
                <w:color w:val="000000"/>
                <w:sz w:val="18"/>
                <w:szCs w:val="18"/>
              </w:rPr>
              <w:t>个志愿。</w:t>
            </w:r>
          </w:p>
          <w:p>
            <w:pPr>
              <w:pStyle w:val="18"/>
              <w:numPr>
                <w:ilvl w:val="0"/>
                <w:numId w:val="1"/>
              </w:numPr>
              <w:adjustRightInd w:val="0"/>
              <w:snapToGrid w:val="0"/>
              <w:spacing w:line="360" w:lineRule="auto"/>
              <w:ind w:firstLineChars="0"/>
              <w:rPr>
                <w:rFonts w:ascii="微软雅黑" w:hAnsi="微软雅黑" w:eastAsia="微软雅黑"/>
                <w:b/>
                <w:color w:val="92D050"/>
                <w:sz w:val="18"/>
                <w:szCs w:val="18"/>
              </w:rPr>
            </w:pPr>
            <w:r>
              <w:rPr>
                <w:rFonts w:hint="eastAsia" w:ascii="微软雅黑" w:hAnsi="微软雅黑" w:eastAsia="微软雅黑"/>
                <w:b/>
                <w:color w:val="92D050"/>
                <w:sz w:val="18"/>
                <w:szCs w:val="18"/>
              </w:rPr>
              <w:t>了解更多万科物业招聘信息</w:t>
            </w:r>
          </w:p>
          <w:p>
            <w:pPr>
              <w:adjustRightInd w:val="0"/>
              <w:snapToGrid w:val="0"/>
              <w:spacing w:line="360" w:lineRule="auto"/>
              <w:ind w:right="330" w:rightChars="157" w:firstLine="360" w:firstLineChars="200"/>
              <w:rPr>
                <w:rFonts w:ascii="微软雅黑" w:hAnsi="微软雅黑" w:eastAsia="微软雅黑"/>
                <w:color w:val="000000"/>
                <w:sz w:val="18"/>
                <w:szCs w:val="18"/>
              </w:rPr>
            </w:pPr>
            <w:r>
              <w:rPr>
                <w:rFonts w:hint="eastAsia" w:ascii="微软雅黑" w:hAnsi="微软雅黑" w:eastAsia="微软雅黑"/>
                <w:color w:val="000000"/>
                <w:sz w:val="18"/>
                <w:szCs w:val="18"/>
              </w:rPr>
              <w:t>请关注万科物业招聘官方微信：“万科物业招聘”（扫描下方二维码加关注）</w:t>
            </w:r>
          </w:p>
          <w:p>
            <w:pPr>
              <w:tabs>
                <w:tab w:val="center" w:pos="5374"/>
                <w:tab w:val="left" w:pos="8460"/>
              </w:tabs>
              <w:ind w:firstLine="360" w:firstLineChars="200"/>
              <w:jc w:val="left"/>
              <w:rPr>
                <w:rFonts w:ascii="微软雅黑" w:hAnsi="微软雅黑" w:eastAsia="微软雅黑"/>
                <w:sz w:val="18"/>
                <w:szCs w:val="18"/>
              </w:rPr>
            </w:pPr>
            <w:r>
              <w:rPr>
                <w:rFonts w:ascii="微软雅黑" w:hAnsi="微软雅黑" w:eastAsia="微软雅黑"/>
                <w:sz w:val="18"/>
                <w:szCs w:val="18"/>
              </w:rPr>
              <w:tab/>
            </w:r>
            <w:r>
              <w:rPr>
                <w:rFonts w:ascii="微软雅黑" w:hAnsi="微软雅黑" w:eastAsia="微软雅黑"/>
                <w:sz w:val="18"/>
                <w:szCs w:val="18"/>
              </w:rPr>
              <w:drawing>
                <wp:inline distT="0" distB="0" distL="0" distR="0">
                  <wp:extent cx="2619375" cy="26193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inline>
              </w:drawing>
            </w:r>
            <w:r>
              <w:rPr>
                <w:rFonts w:ascii="微软雅黑" w:hAnsi="微软雅黑" w:eastAsia="微软雅黑"/>
                <w:sz w:val="18"/>
                <w:szCs w:val="18"/>
              </w:rPr>
              <w:tab/>
            </w:r>
          </w:p>
          <w:p>
            <w:pPr>
              <w:rPr>
                <w:rFonts w:ascii="微软雅黑" w:hAnsi="微软雅黑" w:eastAsia="微软雅黑" w:cs="宋体"/>
                <w:color w:val="000000"/>
                <w:kern w:val="0"/>
                <w:sz w:val="18"/>
                <w:szCs w:val="18"/>
              </w:rPr>
            </w:pPr>
          </w:p>
        </w:tc>
      </w:tr>
    </w:tbl>
    <w:p>
      <w:pPr>
        <w:rPr>
          <w:rFonts w:ascii="微软雅黑" w:hAnsi="微软雅黑" w:eastAsia="微软雅黑"/>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640px;height:640px" o:bullet="t">
        <v:imagedata r:id="rId1" o:title=""/>
      </v:shape>
    </w:pict>
  </w:numPicBullet>
  <w:abstractNum w:abstractNumId="0">
    <w:nsid w:val="139A2367"/>
    <w:multiLevelType w:val="multilevel"/>
    <w:tmpl w:val="139A2367"/>
    <w:lvl w:ilvl="0" w:tentative="0">
      <w:start w:val="1"/>
      <w:numFmt w:val="bullet"/>
      <w:lvlText w:val=""/>
      <w:lvlPicBulletId w:val="0"/>
      <w:lvlJc w:val="left"/>
      <w:pPr>
        <w:ind w:left="420" w:hanging="420"/>
      </w:pPr>
      <w:rPr>
        <w:rFonts w:hint="default" w:ascii="Symbol" w:hAnsi="Symbol"/>
        <w:color w:val="auto"/>
        <w:sz w:val="4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63A"/>
    <w:rsid w:val="00011CB0"/>
    <w:rsid w:val="00016646"/>
    <w:rsid w:val="00045457"/>
    <w:rsid w:val="00051F1E"/>
    <w:rsid w:val="00062745"/>
    <w:rsid w:val="000646CD"/>
    <w:rsid w:val="00072DD7"/>
    <w:rsid w:val="000A6CFF"/>
    <w:rsid w:val="000C6637"/>
    <w:rsid w:val="000D054B"/>
    <w:rsid w:val="000F56D6"/>
    <w:rsid w:val="00102627"/>
    <w:rsid w:val="001163EB"/>
    <w:rsid w:val="00116D15"/>
    <w:rsid w:val="001270AE"/>
    <w:rsid w:val="0013319D"/>
    <w:rsid w:val="001463D8"/>
    <w:rsid w:val="0015575D"/>
    <w:rsid w:val="001617F1"/>
    <w:rsid w:val="0016466E"/>
    <w:rsid w:val="00172A27"/>
    <w:rsid w:val="00194E37"/>
    <w:rsid w:val="001A1318"/>
    <w:rsid w:val="001D7630"/>
    <w:rsid w:val="001F1864"/>
    <w:rsid w:val="001F2598"/>
    <w:rsid w:val="001F7E3A"/>
    <w:rsid w:val="002018D1"/>
    <w:rsid w:val="00206E2C"/>
    <w:rsid w:val="00246219"/>
    <w:rsid w:val="00264443"/>
    <w:rsid w:val="00264AA0"/>
    <w:rsid w:val="002671F1"/>
    <w:rsid w:val="00281C46"/>
    <w:rsid w:val="00295061"/>
    <w:rsid w:val="002A44FD"/>
    <w:rsid w:val="002A4CC1"/>
    <w:rsid w:val="002C4092"/>
    <w:rsid w:val="002C47AC"/>
    <w:rsid w:val="002C6F95"/>
    <w:rsid w:val="002E0BE6"/>
    <w:rsid w:val="00317D25"/>
    <w:rsid w:val="00371064"/>
    <w:rsid w:val="003821A0"/>
    <w:rsid w:val="003829D3"/>
    <w:rsid w:val="003A3122"/>
    <w:rsid w:val="003C1572"/>
    <w:rsid w:val="003C54B7"/>
    <w:rsid w:val="003C7E74"/>
    <w:rsid w:val="00416F8A"/>
    <w:rsid w:val="004330EE"/>
    <w:rsid w:val="00452032"/>
    <w:rsid w:val="00463AA5"/>
    <w:rsid w:val="004A7E8E"/>
    <w:rsid w:val="004B6655"/>
    <w:rsid w:val="004C4EF9"/>
    <w:rsid w:val="004C566E"/>
    <w:rsid w:val="004D5276"/>
    <w:rsid w:val="004F149A"/>
    <w:rsid w:val="00501543"/>
    <w:rsid w:val="0050621E"/>
    <w:rsid w:val="00510D33"/>
    <w:rsid w:val="00511ECE"/>
    <w:rsid w:val="00516A12"/>
    <w:rsid w:val="00530B49"/>
    <w:rsid w:val="00535F9C"/>
    <w:rsid w:val="00541606"/>
    <w:rsid w:val="005523C8"/>
    <w:rsid w:val="00552AE4"/>
    <w:rsid w:val="00564A20"/>
    <w:rsid w:val="00597141"/>
    <w:rsid w:val="005A1137"/>
    <w:rsid w:val="005B01D3"/>
    <w:rsid w:val="005D1D12"/>
    <w:rsid w:val="005E4E85"/>
    <w:rsid w:val="005F2BC8"/>
    <w:rsid w:val="00617DE2"/>
    <w:rsid w:val="006663A9"/>
    <w:rsid w:val="006669AC"/>
    <w:rsid w:val="00667368"/>
    <w:rsid w:val="006A5494"/>
    <w:rsid w:val="006B2644"/>
    <w:rsid w:val="006D64ED"/>
    <w:rsid w:val="006F268C"/>
    <w:rsid w:val="006F37BA"/>
    <w:rsid w:val="00702F4B"/>
    <w:rsid w:val="00703FB7"/>
    <w:rsid w:val="007230B4"/>
    <w:rsid w:val="00726AFE"/>
    <w:rsid w:val="0078519B"/>
    <w:rsid w:val="007A7705"/>
    <w:rsid w:val="007B70F5"/>
    <w:rsid w:val="007C25DA"/>
    <w:rsid w:val="007C5D7B"/>
    <w:rsid w:val="007C63C0"/>
    <w:rsid w:val="007D026D"/>
    <w:rsid w:val="007D3D77"/>
    <w:rsid w:val="007F4150"/>
    <w:rsid w:val="00835638"/>
    <w:rsid w:val="0084257A"/>
    <w:rsid w:val="008471E8"/>
    <w:rsid w:val="00891F87"/>
    <w:rsid w:val="008A207C"/>
    <w:rsid w:val="008A3BF5"/>
    <w:rsid w:val="008E3FB3"/>
    <w:rsid w:val="00901C87"/>
    <w:rsid w:val="00916D45"/>
    <w:rsid w:val="00921304"/>
    <w:rsid w:val="00937423"/>
    <w:rsid w:val="009537E5"/>
    <w:rsid w:val="009823E6"/>
    <w:rsid w:val="0098730E"/>
    <w:rsid w:val="009A543E"/>
    <w:rsid w:val="009B4F3F"/>
    <w:rsid w:val="009D5C5C"/>
    <w:rsid w:val="00A1785A"/>
    <w:rsid w:val="00A33D20"/>
    <w:rsid w:val="00A44CD4"/>
    <w:rsid w:val="00A4512C"/>
    <w:rsid w:val="00A5687F"/>
    <w:rsid w:val="00A60C02"/>
    <w:rsid w:val="00A864A8"/>
    <w:rsid w:val="00A90C52"/>
    <w:rsid w:val="00A9161A"/>
    <w:rsid w:val="00A97270"/>
    <w:rsid w:val="00A97A49"/>
    <w:rsid w:val="00A97A50"/>
    <w:rsid w:val="00AA086E"/>
    <w:rsid w:val="00AA219D"/>
    <w:rsid w:val="00AD4B92"/>
    <w:rsid w:val="00B13F3B"/>
    <w:rsid w:val="00B219DB"/>
    <w:rsid w:val="00B25165"/>
    <w:rsid w:val="00B279A2"/>
    <w:rsid w:val="00B33767"/>
    <w:rsid w:val="00B431B6"/>
    <w:rsid w:val="00B62E5E"/>
    <w:rsid w:val="00B73FCC"/>
    <w:rsid w:val="00BC3E20"/>
    <w:rsid w:val="00BD0744"/>
    <w:rsid w:val="00BF5ECA"/>
    <w:rsid w:val="00C03BDA"/>
    <w:rsid w:val="00C21FF4"/>
    <w:rsid w:val="00C23E2E"/>
    <w:rsid w:val="00C23FA6"/>
    <w:rsid w:val="00C55BA3"/>
    <w:rsid w:val="00C71A23"/>
    <w:rsid w:val="00C72031"/>
    <w:rsid w:val="00C91806"/>
    <w:rsid w:val="00CA4B53"/>
    <w:rsid w:val="00CB726D"/>
    <w:rsid w:val="00CC1B73"/>
    <w:rsid w:val="00CC648F"/>
    <w:rsid w:val="00CD1B1C"/>
    <w:rsid w:val="00CF15DA"/>
    <w:rsid w:val="00D02923"/>
    <w:rsid w:val="00D05809"/>
    <w:rsid w:val="00D147C4"/>
    <w:rsid w:val="00D278D7"/>
    <w:rsid w:val="00D62198"/>
    <w:rsid w:val="00D80AA9"/>
    <w:rsid w:val="00D81D90"/>
    <w:rsid w:val="00D93431"/>
    <w:rsid w:val="00D937A9"/>
    <w:rsid w:val="00DB59C5"/>
    <w:rsid w:val="00DD4701"/>
    <w:rsid w:val="00DD70BA"/>
    <w:rsid w:val="00DE2576"/>
    <w:rsid w:val="00E34AC5"/>
    <w:rsid w:val="00E3643C"/>
    <w:rsid w:val="00E36757"/>
    <w:rsid w:val="00E450D0"/>
    <w:rsid w:val="00E543FC"/>
    <w:rsid w:val="00E63AB1"/>
    <w:rsid w:val="00E64EA5"/>
    <w:rsid w:val="00E874E5"/>
    <w:rsid w:val="00EB2DF0"/>
    <w:rsid w:val="00EC1175"/>
    <w:rsid w:val="00EE79BF"/>
    <w:rsid w:val="00EF2770"/>
    <w:rsid w:val="00EF30F1"/>
    <w:rsid w:val="00EF7D85"/>
    <w:rsid w:val="00F00520"/>
    <w:rsid w:val="00F02522"/>
    <w:rsid w:val="00F26B78"/>
    <w:rsid w:val="00F32329"/>
    <w:rsid w:val="00F41881"/>
    <w:rsid w:val="00F428E2"/>
    <w:rsid w:val="00F61900"/>
    <w:rsid w:val="00F67316"/>
    <w:rsid w:val="00F8470F"/>
    <w:rsid w:val="00FA424D"/>
    <w:rsid w:val="00FA6F61"/>
    <w:rsid w:val="00FB0A6E"/>
    <w:rsid w:val="00FC2E36"/>
    <w:rsid w:val="00FC4787"/>
    <w:rsid w:val="00FC661A"/>
    <w:rsid w:val="00FF5D1C"/>
    <w:rsid w:val="09DF5FA7"/>
    <w:rsid w:val="5019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FollowedHyperlink"/>
    <w:uiPriority w:val="0"/>
    <w:rPr>
      <w:color w:val="800080"/>
      <w:u w:val="single"/>
    </w:rPr>
  </w:style>
  <w:style w:type="character" w:styleId="8">
    <w:name w:val="Hyperlink"/>
    <w:basedOn w:val="5"/>
    <w:uiPriority w:val="0"/>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1">
    <w:name w:val="Medium Grid 3 Accent 3"/>
    <w:basedOn w:val="9"/>
    <w:uiPriority w:val="69"/>
    <w:rPr>
      <w:rFonts w:ascii="Calibri" w:hAnsi="Calibri"/>
      <w:kern w:val="2"/>
      <w:sz w:val="21"/>
      <w:szCs w:val="22"/>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E6EED5"/>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9BBB59"/>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character" w:customStyle="1" w:styleId="12">
    <w:name w:val="页眉 Char"/>
    <w:link w:val="4"/>
    <w:qFormat/>
    <w:uiPriority w:val="0"/>
    <w:rPr>
      <w:sz w:val="18"/>
      <w:szCs w:val="18"/>
    </w:rPr>
  </w:style>
  <w:style w:type="character" w:customStyle="1" w:styleId="13">
    <w:name w:val="页脚 Char"/>
    <w:link w:val="3"/>
    <w:uiPriority w:val="0"/>
    <w:rPr>
      <w:sz w:val="18"/>
      <w:szCs w:val="18"/>
    </w:rPr>
  </w:style>
  <w:style w:type="character" w:customStyle="1" w:styleId="14">
    <w:name w:val="批注框文本 Char"/>
    <w:link w:val="2"/>
    <w:qFormat/>
    <w:uiPriority w:val="0"/>
    <w:rPr>
      <w:sz w:val="18"/>
      <w:szCs w:val="18"/>
    </w:rPr>
  </w:style>
  <w:style w:type="character" w:customStyle="1" w:styleId="15">
    <w:name w:val="index_word011"/>
    <w:uiPriority w:val="0"/>
    <w:rPr>
      <w:color w:val="FFFFFF"/>
      <w:sz w:val="18"/>
      <w:szCs w:val="18"/>
    </w:rPr>
  </w:style>
  <w:style w:type="paragraph" w:customStyle="1" w:styleId="16">
    <w:name w:val="列出段落1"/>
    <w:basedOn w:val="1"/>
    <w:uiPriority w:val="0"/>
    <w:pPr>
      <w:ind w:firstLine="420"/>
    </w:pPr>
    <w:rPr>
      <w:rFonts w:hint="eastAsia"/>
    </w:rPr>
  </w:style>
  <w:style w:type="paragraph" w:customStyle="1" w:styleId="17">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styleId="18">
    <w:name w:val="List Paragraph"/>
    <w:basedOn w:val="1"/>
    <w:qFormat/>
    <w:uiPriority w:val="34"/>
    <w:pPr>
      <w:ind w:firstLine="420" w:firstLineChars="200"/>
    </w:pPr>
  </w:style>
  <w:style w:type="character" w:customStyle="1" w:styleId="19">
    <w:name w:val="Unresolved Mention"/>
    <w:basedOn w:val="5"/>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871E9-7E99-4B05-8C9C-964CC996818D}">
  <ds:schemaRefs/>
</ds:datastoreItem>
</file>

<file path=docProps/app.xml><?xml version="1.0" encoding="utf-8"?>
<Properties xmlns="http://schemas.openxmlformats.org/officeDocument/2006/extended-properties" xmlns:vt="http://schemas.openxmlformats.org/officeDocument/2006/docPropsVTypes">
  <Template>Normal.dotm</Template>
  <Company>Vanke</Company>
  <Pages>4</Pages>
  <Words>370</Words>
  <Characters>2113</Characters>
  <Lines>17</Lines>
  <Paragraphs>4</Paragraphs>
  <TotalTime>14</TotalTime>
  <ScaleCrop>false</ScaleCrop>
  <LinksUpToDate>false</LinksUpToDate>
  <CharactersWithSpaces>2479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2018-05-04T03:47:00Z</dcterms:created>
  <dc:creator>AD20.李立远</dc:creator>
  <cp:lastModifiedBy>无邪1389530230</cp:lastModifiedBy>
  <cp:lastPrinted>2017-09-19T01:15:00Z</cp:lastPrinted>
  <dcterms:modified xsi:type="dcterms:W3CDTF">2018-05-13T15:02:59Z</dcterms:modified>
  <dc:title>AD20.李立远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